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3B474">
      <w:pPr>
        <w:keepNext w:val="0"/>
        <w:keepLines w:val="0"/>
        <w:pageBreakBefore w:val="0"/>
        <w:kinsoku/>
        <w:wordWrap/>
        <w:overflowPunct/>
        <w:topLinePunct w:val="0"/>
        <w:autoSpaceDE/>
        <w:autoSpaceDN w:val="0"/>
        <w:bidi w:val="0"/>
        <w:snapToGrid w:val="0"/>
        <w:spacing w:line="560" w:lineRule="exact"/>
        <w:jc w:val="both"/>
        <w:textAlignment w:val="auto"/>
        <w:outlineLvl w:val="0"/>
        <w:rPr>
          <w:rStyle w:val="9"/>
          <w:rFonts w:hint="eastAsia" w:ascii="方正黑体_GBK" w:hAnsi="方正黑体_GBK" w:eastAsia="方正黑体_GBK" w:cs="方正黑体_GBK"/>
          <w:b w:val="0"/>
          <w:bCs/>
          <w:spacing w:val="20"/>
          <w:kern w:val="0"/>
          <w:sz w:val="32"/>
          <w:szCs w:val="32"/>
          <w:lang w:val="en-US" w:eastAsia="zh-CN"/>
        </w:rPr>
      </w:pPr>
      <w:bookmarkStart w:id="0" w:name="_GoBack"/>
      <w:bookmarkEnd w:id="0"/>
      <w:r>
        <w:rPr>
          <w:rStyle w:val="9"/>
          <w:rFonts w:hint="eastAsia" w:ascii="方正黑体_GBK" w:hAnsi="方正黑体_GBK" w:eastAsia="方正黑体_GBK" w:cs="方正黑体_GBK"/>
          <w:b w:val="0"/>
          <w:bCs/>
          <w:spacing w:val="20"/>
          <w:kern w:val="0"/>
          <w:sz w:val="32"/>
          <w:szCs w:val="32"/>
          <w:lang w:val="en-US" w:eastAsia="zh-CN"/>
        </w:rPr>
        <w:t>附件：</w:t>
      </w:r>
    </w:p>
    <w:p w14:paraId="5D6BB77B">
      <w:pPr>
        <w:keepNext w:val="0"/>
        <w:keepLines w:val="0"/>
        <w:pageBreakBefore w:val="0"/>
        <w:kinsoku/>
        <w:wordWrap/>
        <w:overflowPunct/>
        <w:topLinePunct w:val="0"/>
        <w:autoSpaceDE/>
        <w:bidi w:val="0"/>
        <w:snapToGrid w:val="0"/>
        <w:spacing w:line="560" w:lineRule="exact"/>
        <w:jc w:val="center"/>
        <w:textAlignment w:val="auto"/>
        <w:outlineLvl w:val="0"/>
        <w:rPr>
          <w:rStyle w:val="9"/>
          <w:rFonts w:hint="eastAsia" w:ascii="方正小标宋简体" w:hAnsi="方正小标宋简体" w:eastAsia="方正小标宋简体" w:cs="方正小标宋简体"/>
          <w:b w:val="0"/>
          <w:bCs/>
          <w:sz w:val="36"/>
          <w:szCs w:val="36"/>
        </w:rPr>
      </w:pPr>
      <w:r>
        <w:rPr>
          <w:rStyle w:val="9"/>
          <w:rFonts w:hint="eastAsia" w:ascii="方正小标宋简体" w:hAnsi="方正小标宋简体" w:eastAsia="方正小标宋简体" w:cs="方正小标宋简体"/>
          <w:b w:val="0"/>
          <w:bCs/>
          <w:sz w:val="36"/>
          <w:szCs w:val="36"/>
        </w:rPr>
        <w:t>中央生态环境保护督察纪律规定</w:t>
      </w:r>
    </w:p>
    <w:p w14:paraId="5CCA9EA2">
      <w:pPr>
        <w:keepNext w:val="0"/>
        <w:keepLines w:val="0"/>
        <w:pageBreakBefore w:val="0"/>
        <w:kinsoku/>
        <w:wordWrap/>
        <w:overflowPunct/>
        <w:topLinePunct w:val="0"/>
        <w:autoSpaceDE/>
        <w:bidi w:val="0"/>
        <w:adjustRightInd w:val="0"/>
        <w:snapToGrid w:val="0"/>
        <w:spacing w:line="560" w:lineRule="exact"/>
        <w:ind w:firstLine="720" w:firstLineChars="200"/>
        <w:jc w:val="left"/>
        <w:textAlignment w:val="auto"/>
        <w:rPr>
          <w:rFonts w:hint="default" w:ascii="Times New Roman" w:hAnsi="Times New Roman" w:eastAsia="方正小标宋_GBK" w:cs="Times New Roman"/>
          <w:sz w:val="36"/>
          <w:szCs w:val="36"/>
        </w:rPr>
      </w:pPr>
    </w:p>
    <w:p w14:paraId="44459624">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生态环境保护督察工作条例》《中央生态环境保护督察整改工作办法》等，结合督察工作实际，制定纪律规定如下。</w:t>
      </w:r>
    </w:p>
    <w:p w14:paraId="2FE29762">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一、深入学习贯彻习近平新时代中国特色社会主义思想，特别是习近平生态文明思想，全面贯彻党的二十大精神和全国生态环境保护大会精神，深刻领悟“两个确立”的决定性意义，增强“四个意识”、坚定“四个自信”、做到“两个维护”，坚定不移在思想上政治上行动上同以习近平同志为核心的党中央保持高度一致，不断提高政治判断力、政治领悟力、政治执行力。</w:t>
      </w:r>
    </w:p>
    <w:p w14:paraId="1B119666">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二、牢牢把握督察的政治属性，把贯彻落实习近平生态文明思想作为重大政治任务，把习近平总书记重要指示批示落实情况作为重中之重，推动落实党中央、国务院关于生态文明建设和生态环境保护的重大决策部署，坚持依规依纪依法、客观公正，精准科学开展督察。</w:t>
      </w:r>
    </w:p>
    <w:p w14:paraId="590F3563">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三、必须听从组织安排，执行组织决定，督察进驻期间严格执行督察组组长负责制、请示报告和请销假制度。督察中发现的重要情况和重大问题要及时报告，不准擅自表态、提出处置意见或对外发表个人主张，不准发表与党中央决策部署不一致的言论、文章等。</w:t>
      </w:r>
    </w:p>
    <w:p w14:paraId="62BDD933">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四、加强督察组临时党支部建设，突出政治功能、强化政治引领，认真组织政治理论学习，规范开展党内组织生活，将全面从严治党要求贯穿督察工作全过程。</w:t>
      </w:r>
    </w:p>
    <w:p w14:paraId="79782AC1">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五、坚持集体讨论、层层把关，加强重大问题的集体研究和决策。查实的突出问题、典型案例在督察报告中应充分体现。落实督察报告独立审核制度。</w:t>
      </w:r>
    </w:p>
    <w:p w14:paraId="6761561A">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六、严格落实督察制度和规范。不准随意变更、简化督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14:paraId="5CE6B31C">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七、落实问题线索摸排底稿制度。前期摸排发现的所有问题线索及核实情况、结论均应完整记录留存，任何人不得擅自取消、调整。核实时，应确认问题是否继续保留并说明原因。</w:t>
      </w:r>
    </w:p>
    <w:p w14:paraId="72D20DFD">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八、坚决抵制说情、打招呼。防范通过打探工作安排、请托有关事项，意图获得特殊照顾以逃避调查、减轻责任，干扰督察工作。发现说情、打招呼的行为，应当如实记录并报告。</w:t>
      </w:r>
    </w:p>
    <w:p w14:paraId="0E9938FE">
      <w:pPr>
        <w:keepNext w:val="0"/>
        <w:keepLines w:val="0"/>
        <w:pageBreakBefore w:val="0"/>
        <w:kinsoku/>
        <w:wordWrap/>
        <w:overflowPunct/>
        <w:topLinePunct w:val="0"/>
        <w:autoSpaceDE/>
        <w:bidi w:val="0"/>
        <w:snapToGrid w:val="0"/>
        <w:spacing w:line="560" w:lineRule="exact"/>
        <w:ind w:firstLine="584" w:firstLineChars="200"/>
        <w:textAlignment w:val="auto"/>
        <w:rPr>
          <w:rFonts w:hint="default" w:ascii="Times New Roman" w:hAnsi="Times New Roman" w:eastAsia="方正仿宋简体" w:cs="Times New Roman"/>
          <w:spacing w:val="-4"/>
          <w:sz w:val="30"/>
          <w:szCs w:val="30"/>
        </w:rPr>
      </w:pPr>
      <w:r>
        <w:rPr>
          <w:rFonts w:hint="default" w:ascii="Times New Roman" w:hAnsi="Times New Roman" w:eastAsia="方正仿宋简体" w:cs="Times New Roman"/>
          <w:spacing w:val="-4"/>
          <w:sz w:val="30"/>
          <w:szCs w:val="30"/>
        </w:rPr>
        <w:t>九、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14:paraId="4F9428AB">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严格执行保密制度。不准泄露督察工作相关敏感信息和秘密，不准跑风漏气，不准私自留存涉及督察工作敏感信息和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14:paraId="264BFDB1">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一、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14:paraId="4200D7B4">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十二、严格落实“一督察两报告”（督察报告、廉政报告）制度。积极配合纪检监察机关对督察工作进行监督，狠抓纪律作风建设，强化廉政提醒，防范各类廉政风险。严肃、务实、廉洁、高效开展督察。</w:t>
      </w:r>
    </w:p>
    <w:p w14:paraId="5C09798B">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三、不准利用督察工作便利谋取私利或者为他人谋取利益。严禁为请托人、亲属或所在单位在课题或项目承揽、环评审批、环境执法、督察问责、企业经营活动、干部提拔和调整等方面传话、递条子。严禁利用内部信息谋取利益。</w:t>
      </w:r>
    </w:p>
    <w:p w14:paraId="3CCBE75A">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四、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14:paraId="706F2715">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sz w:val="30"/>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-772795</wp:posOffset>
                </wp:positionV>
                <wp:extent cx="63500" cy="63500"/>
                <wp:effectExtent l="0" t="0" r="0" b="0"/>
                <wp:wrapNone/>
                <wp:docPr id="1" name="矩形 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5.05pt;margin-top:-60.85pt;height:5pt;width:5pt;visibility:hidden;z-index:251659264;mso-width-relative:page;mso-height-relative:page;" fillcolor="#FFFFFF" filled="t" stroked="t" coordsize="21600,21600" o:gfxdata="UEsDBAoAAAAAAIdO4kAAAAAAAAAAAAAAAAAEAAAAZHJzL1BLAwQUAAAACACHTuJAfhinUNoAAAAP&#10;AQAADwAAAGRycy9kb3ducmV2LnhtbE2PzU7DMBCE70i8g7WVuKDUdpFom8bpAdQjVAQOPbrxNrEa&#10;r6PY/cnb45zgNjs7mv222N5dx644BOtJgZwLYEi1N5YaBT/fu2wFLERNRneeUMGIAbbl40Ohc+Nv&#10;9IXXKjYslVDItYI2xj7nPNQtOh3mvkdKu5MfnI5pHBpuBn1L5a7jCyFeudOW0oVW9/jWYn2uLk7B&#10;7lCd9/ZApxe7/Hi36+dx/NxXSj3NpNgAi3iPf2GY8BM6lInp6C9kAusUZHItZMpOaiGXwFImk6vJ&#10;O05KJo+XBf//R/kLUEsDBBQAAAAIAIdO4kDCq9/QNQQAAMcGAAAOAAAAZHJzL2Uyb0RvYy54bWyt&#10;VcmyqzYQ3acq/0CxdeVhG0+4nu8rX7C5xgMesMHsBIjBRghLTPbPpCq7fEQ+J5XfiMA3b0oWbxEt&#10;oFtqjrqP1IePnyoUcwUkNMLJhO98aPMcTFzsRUkw4Y/G/JcRz9EMJB6IcQIn/B1S/tPLzz99LNMx&#10;7OIQxx4kHANJ6LhMJ3yYZelYEKgbQgToB5zChC36mCCQMZcEgkdAydBRLHTb7YFQYuKlBLuQUjar&#10;PBf5d0TyI4DY9yMXKtjNEUyyJyqBMchYSTSMUsq/NNn6PnQz3fcpzLh4wrNKs+bJNmG2Uz+Fl49g&#10;HBCQhpH7ngL4kRS+qwmBKGGbfoZSQAa4nET/gkKRSzDFfvbBxUh4FtIwwqrotL/j5hCCFDa1MKpp&#10;+pl0+v/BuptiS7jIYzeB5xKA2IH/9evvf/7xG8d8D1KXcRXT63m4FdstUTocDt0HFGVZ0GVcXRyC&#10;LsJpaYX9QOneDBUXfWl/N7urK7LOj/tZ36ooXpZb0zx31IfsOqJZqLaybtkbIye7Xc+QwS2Z5gfd&#10;N2XT0gXZDEcPqfRpYZMrtEaPEynDkSsSijfzXk9u6R19ttOlNrXE/RaYRMIzKq3h28o7Ldhd0l3X&#10;1/TzcictdrZ2Sl/fjP1hn0QzJXQHWg4HVyBdb0s8HIlWYRhVdbsslMENHUIrWoh7AovSHg0BkjYy&#10;mrnHO97l1WB5DEF3ezcH5sMevJ50V0hXm8B6VNaQlIhK/aP5ml567eHRuNAMoeX+EM7yrunN71lk&#10;+9g/dhFCqd0/KY7oOILvgtPOWcWr80YDWl5cFn3hpsn7lTZtkVaaHkTfAP3RbO365W20o9ZirhgV&#10;OK9NuxOXElYHB1Fr271w2rP0yEnyVC3sZXTTBV01goosBm/DRNesfCT6b8mgnIb3lnH3u7tK83b3&#10;6tIyHIRE8SSGG3/ovakRXJPFQ4PK7s0IdLyV14m86kQr6rjS44YrW+6proKVjORrlcCjV4SLpUlR&#10;O48FRew5UeYMF5K9oK6feqe81bkeHBWnaSWcdKoF0M72ynkVo7k/h8Ze9ZVeV0t2pNXDxBBfj1M1&#10;p5UlJ2bwCh92v1pPBZMEU/hY0dVwFjJdCa1rJ1Wkq10cjPNjg5Y7ZE0nE54LI8+DtYrVfVymdMyu&#10;8yHdknePMrNuysonqH6zduOqpvfvn3sfVhnnssmB2G8zUXDZytNkGMKXT1NCMxVixNXGhCdMWJp+&#10;B8WKZs/Qf0LqnSiOI28exXHjkMCRY8IVgInQvBl1vgz9m7A44coJL/W7fZYGYMrqM0VjJkpZd9Ik&#10;aPb75gv6NXC7Gf8FXCemABo+E2gQ6jAwRlEGa67AOITAmyUel91TpgAJE36+TgZBj+fimuHaaiIz&#10;EMU/EsmqixNWZH0qz3OoLQd7d6Y3eUqiIGQ8NgfXxDB9ayh51+JaQL/2G6Qv/5+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B+GKdQ2gAAAA8BAAAPAAAAAAAAAAEAIAAAACIAAABkcnMvZG93bnJl&#10;di54bWxQSwECFAAUAAAACACHTuJAwqvf0DUEAADHBgAADgAAAAAAAAABACAAAAApAQAAZHJzL2Uy&#10;b0RvYy54bWxQSwUGAAAAAAYABgBZAQAA0AcAAAAA&#10;">
                <v:fill on="t" focussize="0,0"/>
                <v:stroke color="#000000" joinstyle="miter"/>
                <v:imagedata o:title=""/>
                <o:lock v:ext="edit" aspectratio="f"/>
              </v:rect>
            </w:pict>
          </mc:Fallback>
        </mc:AlternateContent>
      </w:r>
      <w:r>
        <w:rPr>
          <w:rFonts w:hint="default" w:ascii="Times New Roman" w:hAnsi="Times New Roman" w:eastAsia="方正仿宋简体" w:cs="Times New Roman"/>
          <w:sz w:val="30"/>
          <w:szCs w:val="30"/>
        </w:rPr>
        <w:t>十五、不准漠视群众利益，对符合督察受理范围的群众生态环境保护相关信访举报均应认真对待，及时转办督办，不准消极应付或推诿、拖延。</w:t>
      </w:r>
    </w:p>
    <w:p w14:paraId="57C8B48A">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十六、自觉接受被督察对象和群众监督，维护督察人员良好形象，不准居高临下、盛气凌人、口大气粗。督察工作场合，不准随意着装。不准涉足影响督察人员形象和声誉的场所和活动。</w:t>
      </w:r>
    </w:p>
    <w:p w14:paraId="3426328F">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七、严格执行住宿标准和规定，督察进驻期间入住宾馆要严格按照中央和国家机关差旅住宿费标准安排房间，中途离开要腾退不必要的房间，进驻结束后要及时腾退全部房间。不准擅自在驻地外住宿，不准以督察组名义在驻地安排亲友及其他人员住宿。</w:t>
      </w:r>
    </w:p>
    <w:p w14:paraId="7A5586F7">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十八、严格执行接待标准和规定，在中央和国家机关差旅费伙食补助标准范围内安排工作用餐，不接受宴请，节俭用餐，杜绝餐饮浪费行为。督察进驻结束后，应按标准向被督察对象缴纳伙食费。</w:t>
      </w:r>
    </w:p>
    <w:p w14:paraId="0B5D025E">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十九、督察进驻期间，不准擅自离开驻地，不准私自会客；不准参加老乡、校友、战友等组织的各种活动；不准饮酒，不准外出自费集体聚餐。</w:t>
      </w:r>
    </w:p>
    <w:p w14:paraId="5FF01544">
      <w:pPr>
        <w:keepNext w:val="0"/>
        <w:keepLines w:val="0"/>
        <w:pageBreakBefore w:val="0"/>
        <w:kinsoku/>
        <w:wordWrap/>
        <w:overflowPunct/>
        <w:topLinePunct w:val="0"/>
        <w:autoSpaceDE/>
        <w:bidi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二十、严格执行中央和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p w14:paraId="29C617A6">
      <w:pPr>
        <w:keepNext w:val="0"/>
        <w:keepLines w:val="0"/>
        <w:pageBreakBefore w:val="0"/>
        <w:kinsoku/>
        <w:wordWrap/>
        <w:overflowPunct/>
        <w:topLinePunct w:val="0"/>
        <w:autoSpaceDE/>
        <w:bidi w:val="0"/>
        <w:snapToGrid w:val="0"/>
        <w:spacing w:line="560" w:lineRule="exact"/>
        <w:jc w:val="left"/>
        <w:textAlignment w:val="auto"/>
        <w:rPr>
          <w:rFonts w:hint="default" w:ascii="Times New Roman" w:hAnsi="Times New Roman" w:eastAsia="方正仿宋简体" w:cs="Times New Roman"/>
          <w:sz w:val="30"/>
          <w:szCs w:val="30"/>
        </w:rPr>
      </w:pPr>
    </w:p>
    <w:p w14:paraId="60A81EA7"/>
    <w:sectPr>
      <w:footerReference r:id="rId3"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A0C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507352">
                          <w:pPr>
                            <w:pStyle w:val="5"/>
                          </w:pPr>
                          <w:r>
                            <w:fldChar w:fldCharType="begin"/>
                          </w:r>
                          <w:r>
                            <w:instrText xml:space="preserve"> PAGE  \* MERGEFORMAT </w:instrText>
                          </w:r>
                          <w:r>
                            <w:fldChar w:fldCharType="separate"/>
                          </w:r>
                          <w:r>
                            <w:t>274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7507352">
                    <w:pPr>
                      <w:pStyle w:val="5"/>
                    </w:pPr>
                    <w:r>
                      <w:fldChar w:fldCharType="begin"/>
                    </w:r>
                    <w:r>
                      <w:instrText xml:space="preserve"> PAGE  \* MERGEFORMAT </w:instrText>
                    </w:r>
                    <w:r>
                      <w:fldChar w:fldCharType="separate"/>
                    </w:r>
                    <w:r>
                      <w:t>274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3025E"/>
    <w:rsid w:val="22EA4CC6"/>
    <w:rsid w:val="22F30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qFormat/>
    <w:uiPriority w:val="0"/>
    <w:pPr>
      <w:ind w:firstLine="630"/>
    </w:p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qFormat/>
    <w:uiPriority w:val="0"/>
  </w:style>
  <w:style w:type="character" w:customStyle="1" w:styleId="9">
    <w:name w:val="标题 2 字符1"/>
    <w:link w:val="4"/>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2365</Words>
  <Characters>2365</Characters>
  <Lines>0</Lines>
  <Paragraphs>0</Paragraphs>
  <TotalTime>0</TotalTime>
  <ScaleCrop>false</ScaleCrop>
  <LinksUpToDate>false</LinksUpToDate>
  <CharactersWithSpaces>2365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2025-11-18T00:56:00Z</dcterms:created>
  <dc:creator>马杰</dc:creator>
  <cp:lastModifiedBy>马杰</cp:lastModifiedBy>
  <dcterms:modified xsi:type="dcterms:W3CDTF">2025-11-18T01:51:42Z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617A8CA2C30D4016885B5344AA98A7DF_13</vt:lpwstr>
  </property>
  <property fmtid="{D5CDD505-2E9C-101B-9397-08002B2CF9AE}" pid="4" name="KSOTemplateDocerSaveRecord">
    <vt:lpwstr>eyJoZGlkIjoiZmE4NjM3ZGRmYzE1ZTE0MDg4MWU2MDU4OThkY2JhODgiLCJ1c2VySWQiOiIyODU5MTc2MTAifQ==</vt:lpwstr>
  </property>
</Properties>
</file>